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17C380" w14:textId="77777777" w:rsidR="00B347C0" w:rsidRDefault="00000000" w:rsidP="00392875">
      <w:pPr>
        <w:spacing w:before="0"/>
      </w:pPr>
      <w:r w:rsidRPr="001B744F">
        <w:rPr>
          <w:b/>
          <w:bCs/>
        </w:rPr>
        <w:t>Laval, 4 décembre 2025</w:t>
      </w:r>
      <w:r>
        <w:t xml:space="preserve"> - Dans un climat politique où plusieurs acquis sont fragilisés et où les droits des femmes sont à nouveau menacés, nous affirmons notre devoir de mémoire et de vigilance. Nous nous souvenons des 14 femmes assassinées à la Polytechnique en 1989, ainsi que de toutes celles qui, depuis, ont été tuées parce qu’elles sont des femmes. À l’occasion de la campagne 2025 des 12 jours d’action contre la violence faite aux femmes, la Table de concertation de Laval en condition féminine (TCLCF), la Table de concertation en violence conjugale et agressions à caractère sexuel de Laval (TCVCASL) et le Réseau des organismes en itinérance de Laval (ROIL), unissent leur voix.</w:t>
      </w:r>
    </w:p>
    <w:p w14:paraId="1C17C381" w14:textId="77777777" w:rsidR="00B347C0" w:rsidRDefault="00000000">
      <w:r>
        <w:t>36 ans plus tard, le 6 décembre demeure une date profondément marquante de notre mémoire collective et un symbole puissant de la violence qui persiste encore envers les femmes et les filles au Québec. Les violences sexistes, conjugales, sexuelles, institutionnelles, économiques, numériques et psychologiques ne sont pas des événements isolés. Il s’agit d’une réalité bien présente dans toutes les régions, tous les milieux, et qui touche de façon disproportionnée certaines femmes, notamment les femmes autochtones, racisées ou issues de communautés ethnoculturelles, les femmes en situation de handicap, les femmes migrantes, les aînées, les personnes des diversités sexuelles et de genres, ainsi que celles vivant en contexte de précarité.</w:t>
      </w:r>
    </w:p>
    <w:p w14:paraId="1C17C382" w14:textId="77777777" w:rsidR="00B347C0" w:rsidRDefault="00000000">
      <w:pPr>
        <w:rPr>
          <w:shd w:val="clear" w:color="auto" w:fill="FFF2CC"/>
        </w:rPr>
      </w:pPr>
      <w:r>
        <w:t>Nos trois regroupements partagent la conviction que la lutte contre les violences faites aux femmes exige la reconnaissance de leur caractère systémique, afin de permettre la mise en place de mesures concrètes pour enrayer les inégalités. « Nous faisons actuellement face à un affaiblissement préoccupant du filet social québécois, qui touche d’abord les femmes: celles qui demandent de l’aide, mais aussi celles qui offrent les services essentiels », se préoccupe Marie-Ève Surprenant, coordonnatrice de la TCLCF.</w:t>
      </w:r>
    </w:p>
    <w:p w14:paraId="1C17C383" w14:textId="77777777" w:rsidR="00B347C0" w:rsidRDefault="00000000">
      <w:r>
        <w:t>À Laval comme ailleurs, les ressources d’hébergement pour femmes victimes de violence conjugale sont à pleine capacité. De même, les listes d’attentes pour les victimes d’agression à caractère sexuel ne font que s’allonger. Pour éliminer les violences, il est impératif d’avoir accès aux services. « La force du nombre, la cohérence des actions et le courage politique sont essentiels pour faire évoluer nos systèmes. Seule une volonté collective réelle permettra aux femmes de vivre en sécurité et d’accéder à l’aide dont elles ont besoin. » déclare Geneviève Dionne, travailleuse sociale et directrice générale de la TCVCASL.</w:t>
      </w:r>
    </w:p>
    <w:p w14:paraId="1C17C384" w14:textId="77777777" w:rsidR="00B347C0" w:rsidRDefault="00000000">
      <w:r>
        <w:t xml:space="preserve">Les organismes en itinérance se retrouvent dans une situation similaire. Les intervenantes de ces ressources, confrontées quotidiennement à la détérioration des conditions de vie, sont celles, aussi, qui doivent trop souvent refuser les services, faute de place. Les secteurs communautaire, de la santé et de l’éducation, des milieux historiquement et majoritairement occupés par des femmes, absorbent des coups constants et une pression toujours croissante, dans un contexte </w:t>
      </w:r>
      <w:r>
        <w:lastRenderedPageBreak/>
        <w:t xml:space="preserve">de sous-financement chronique. « Avec le temps, ces conditions précaires tendent à se normaliser, compromettant la santé et le bien-être des travailleuses, et ultimement, la qualité de l’accompagnement offert à la population. Soutenir les ressources locales, c’est investir directement dans la sécurité et la dignité des femmes », témoigne Caroline </w:t>
      </w:r>
      <w:proofErr w:type="spellStart"/>
      <w:r>
        <w:t>Nantel</w:t>
      </w:r>
      <w:proofErr w:type="spellEnd"/>
      <w:r>
        <w:t>, coordonnatrice du ROIL.</w:t>
      </w:r>
    </w:p>
    <w:p w14:paraId="1C17C385" w14:textId="77777777" w:rsidR="00B347C0" w:rsidRDefault="00000000">
      <w:r>
        <w:t xml:space="preserve">À Laval, notre mobilisation se manifeste de manières bien concrètes. En 2018, à l’initiative de la TCLCF et de la TCVCASL, la Ville de Laval s’est dotée d’une œuvre permanente qui rend hommage aux vies volées lors de la tuerie antiféministe de Polytechnique. L’œuvre </w:t>
      </w:r>
      <w:r>
        <w:rPr>
          <w:i/>
          <w:iCs/>
        </w:rPr>
        <w:t xml:space="preserve">Lux </w:t>
      </w:r>
      <w:proofErr w:type="spellStart"/>
      <w:r>
        <w:rPr>
          <w:i/>
          <w:iCs/>
        </w:rPr>
        <w:t>Aeterna</w:t>
      </w:r>
      <w:proofErr w:type="spellEnd"/>
      <w:r>
        <w:t>, composée par Estelle Lemire à la suite d’un appel de projets destiné aux compositrices québécoises, fait résonner 14 mouvements, chacun dédié à chacune des femmes assassinées. Interprétée chaque midi du 25 novembre au 6 décembre sur le carillon de la Place Claude-Léveillé, cette création porte, année après année, une mémoire qui appelle à la justice et à la vigilance.</w:t>
      </w:r>
    </w:p>
    <w:p w14:paraId="1C17C386" w14:textId="77777777" w:rsidR="00B347C0" w:rsidRDefault="00000000">
      <w:pPr>
        <w:rPr>
          <w:shd w:val="clear" w:color="auto" w:fill="D9EAD3"/>
        </w:rPr>
      </w:pPr>
      <w:r>
        <w:t>Cette année, la TCVCASL en compagnie de ses membres, s’est mobilisée en participant à l’Opération nationale concertée (ONC) et en diffusant des messages de sensibilisation sur ses plateformes numériques, contribuant à la visibilité et à la portée de cette campagne à Laval. Afin de témoigner de leur solidarité, les membres de la TCLCF ont participé à la création d’une mosaïque collective. Ces créations symboliques et rassembleuses font écho au thème des 12 jours d’action contre la violence faite aux femmes: Même monde, mêmes luttes, mêmes espoirs, qui nous rappelle que les droits des femmes et filles du monde sont interdépendants et gravement menacés.</w:t>
      </w:r>
    </w:p>
    <w:p w14:paraId="1C17C387" w14:textId="77777777" w:rsidR="00B347C0" w:rsidRDefault="00000000" w:rsidP="00A97E27">
      <w:pPr>
        <w:pBdr>
          <w:bottom w:val="single" w:sz="4" w:space="1" w:color="auto"/>
        </w:pBdr>
        <w:spacing w:after="0"/>
      </w:pPr>
      <w:r>
        <w:t>Dans un contexte mondial marqué par la guerre, les politiques de droite et l’austérité, l’espoir et la solidarité sont des forces gardiennes de notre volonté de justice et d’égalité réelle. Aujourd’hui, nous revendiquons une société où chaque femme peut vivre librement, dignement et à l’abri des violences. Ensemble, soyons une partie active de la solution.</w:t>
      </w:r>
    </w:p>
    <w:p w14:paraId="1C17C388" w14:textId="77777777" w:rsidR="00B347C0" w:rsidRPr="00B3416A" w:rsidRDefault="00B347C0" w:rsidP="00A97E27">
      <w:pPr>
        <w:spacing w:before="0" w:after="0"/>
        <w:rPr>
          <w:b/>
          <w:bCs/>
          <w:i/>
          <w:iCs/>
          <w:sz w:val="10"/>
          <w:szCs w:val="10"/>
        </w:rPr>
      </w:pPr>
    </w:p>
    <w:p w14:paraId="1C17C389" w14:textId="77777777" w:rsidR="00B347C0" w:rsidRPr="00B3416A" w:rsidRDefault="00000000" w:rsidP="00B3416A">
      <w:pPr>
        <w:spacing w:before="0" w:after="0" w:line="240" w:lineRule="auto"/>
        <w:rPr>
          <w:b/>
          <w:bCs/>
        </w:rPr>
      </w:pPr>
      <w:r w:rsidRPr="00B3416A">
        <w:rPr>
          <w:b/>
          <w:bCs/>
        </w:rPr>
        <w:t>À propos de la Table de concertation de Laval en condition féminine (TCLCF)</w:t>
      </w:r>
    </w:p>
    <w:p w14:paraId="1C17C38A" w14:textId="77777777" w:rsidR="00B347C0" w:rsidRPr="00392875" w:rsidRDefault="00000000" w:rsidP="00B3416A">
      <w:pPr>
        <w:spacing w:before="0" w:line="240" w:lineRule="auto"/>
        <w:rPr>
          <w:i/>
          <w:iCs/>
        </w:rPr>
      </w:pPr>
      <w:r w:rsidRPr="00392875">
        <w:rPr>
          <w:i/>
          <w:iCs/>
        </w:rPr>
        <w:t>La TCLCF est un regroupement régional féministe de défense collective des droits, représentant plus de 30 000 Lavalloises par le biais de ses groupes membres, qui travaille depuis plus de 35 ans à l’amélioration de la qualité et des conditions de vie des femmes.</w:t>
      </w:r>
    </w:p>
    <w:p w14:paraId="1C17C38B" w14:textId="77777777" w:rsidR="00B347C0" w:rsidRPr="00B3416A" w:rsidRDefault="00000000" w:rsidP="00B3416A">
      <w:pPr>
        <w:spacing w:after="0" w:line="240" w:lineRule="auto"/>
        <w:rPr>
          <w:b/>
          <w:bCs/>
        </w:rPr>
      </w:pPr>
      <w:r w:rsidRPr="00B3416A">
        <w:rPr>
          <w:b/>
          <w:bCs/>
        </w:rPr>
        <w:t>À propos de la Table de concertation en violence conjugale et agressions à caractère sexuel (TCVCASL)</w:t>
      </w:r>
    </w:p>
    <w:p w14:paraId="1C17C38C" w14:textId="77777777" w:rsidR="00B347C0" w:rsidRPr="00392875" w:rsidRDefault="00000000" w:rsidP="00B3416A">
      <w:pPr>
        <w:spacing w:before="0" w:line="240" w:lineRule="auto"/>
        <w:rPr>
          <w:b/>
          <w:bCs/>
          <w:i/>
          <w:iCs/>
          <w:highlight w:val="green"/>
        </w:rPr>
      </w:pPr>
      <w:r w:rsidRPr="00392875">
        <w:rPr>
          <w:i/>
          <w:iCs/>
        </w:rPr>
        <w:t>La TCVCASL regroupe, depuis 1985, des organisations lavalloises engagées dans la lutte contre les violences conjugales et sexuelles. Elle œuvre à promouvoir un changement social vers l’égalité entre les femmes et les hommes, la sécurité pour toutes et tous, ainsi qu’une société où la violence n’est jamais normalisée ni minimisée.</w:t>
      </w:r>
    </w:p>
    <w:p w14:paraId="1C17C38D" w14:textId="77777777" w:rsidR="00B347C0" w:rsidRPr="00B3416A" w:rsidRDefault="00000000" w:rsidP="00B3416A">
      <w:pPr>
        <w:spacing w:after="0" w:line="240" w:lineRule="auto"/>
        <w:rPr>
          <w:b/>
          <w:bCs/>
        </w:rPr>
      </w:pPr>
      <w:r w:rsidRPr="00B3416A">
        <w:rPr>
          <w:b/>
          <w:bCs/>
        </w:rPr>
        <w:t>À propos du Réseau des organismes en itinérance de Laval (ROIL)</w:t>
      </w:r>
    </w:p>
    <w:p w14:paraId="1C17C39D" w14:textId="040611AA" w:rsidR="00B347C0" w:rsidRPr="00392875" w:rsidRDefault="00000000" w:rsidP="00B3416A">
      <w:pPr>
        <w:spacing w:before="0" w:line="240" w:lineRule="auto"/>
        <w:rPr>
          <w:i/>
          <w:iCs/>
        </w:rPr>
      </w:pPr>
      <w:r w:rsidRPr="00392875">
        <w:rPr>
          <w:i/>
          <w:iCs/>
        </w:rPr>
        <w:t>Fondé en 2016, le Réseau des organismes en itinérance de Laval (ROIL), regroupe des organisations engagées auprès des personnes en situation de vulnérabilité, de pauvreté, d’itinérance ou de sortie de rue. C’est un lieu d’échange, de sensibilisation, de représentation et de défense des droits.  Ses projets s’appuient sur la concertation, l’analyse des enjeux et l’innovation.</w:t>
      </w:r>
    </w:p>
    <w:sectPr w:rsidR="00B347C0" w:rsidRPr="00392875">
      <w:headerReference w:type="first" r:id="rId9"/>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66E2E7" w14:textId="77777777" w:rsidR="00B45DE8" w:rsidRDefault="00B45DE8">
      <w:pPr>
        <w:spacing w:before="0" w:after="0" w:line="240" w:lineRule="auto"/>
      </w:pPr>
      <w:r>
        <w:separator/>
      </w:r>
    </w:p>
  </w:endnote>
  <w:endnote w:type="continuationSeparator" w:id="0">
    <w:p w14:paraId="0584E52E" w14:textId="77777777" w:rsidR="00B45DE8" w:rsidRDefault="00B45DE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22CAF7CF-1970-4F1E-A8B9-7477791715B3}"/>
    <w:embedItalic r:id="rId2" w:fontKey="{450932C7-18D8-472A-8515-D4405F7CE27A}"/>
    <w:embedBoldItalic r:id="rId3" w:fontKey="{3238B745-261C-4824-80BD-41027B1AE06C}"/>
  </w:font>
  <w:font w:name="Cambria">
    <w:panose1 w:val="02040503050406030204"/>
    <w:charset w:val="00"/>
    <w:family w:val="roman"/>
    <w:pitch w:val="variable"/>
    <w:sig w:usb0="E00006FF" w:usb1="420024FF" w:usb2="02000000" w:usb3="00000000" w:csb0="0000019F" w:csb1="00000000"/>
    <w:embedRegular r:id="rId4" w:fontKey="{87C05C85-E816-45E0-9393-7B34339FE242}"/>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98B8B4" w14:textId="77777777" w:rsidR="00B45DE8" w:rsidRDefault="00B45DE8">
      <w:pPr>
        <w:spacing w:before="0" w:after="0" w:line="240" w:lineRule="auto"/>
      </w:pPr>
      <w:r>
        <w:separator/>
      </w:r>
    </w:p>
  </w:footnote>
  <w:footnote w:type="continuationSeparator" w:id="0">
    <w:p w14:paraId="43ADA4EE" w14:textId="77777777" w:rsidR="00B45DE8" w:rsidRDefault="00B45DE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17C3A5" w14:textId="77777777" w:rsidR="00B347C0" w:rsidRDefault="00000000">
    <w:pPr>
      <w:spacing w:before="0" w:line="240" w:lineRule="auto"/>
      <w:rPr>
        <w:rFonts w:ascii="Calibri" w:eastAsia="Calibri" w:hAnsi="Calibri" w:cs="Calibri"/>
      </w:rPr>
    </w:pPr>
    <w:r>
      <w:rPr>
        <w:noProof/>
      </w:rPr>
      <w:drawing>
        <wp:anchor distT="114300" distB="114300" distL="114300" distR="114300" simplePos="0" relativeHeight="251658240" behindDoc="1" locked="0" layoutInCell="1" hidden="0" allowOverlap="1" wp14:anchorId="1C17C3AD" wp14:editId="1C17C3AE">
          <wp:simplePos x="0" y="0"/>
          <wp:positionH relativeFrom="column">
            <wp:posOffset>19051</wp:posOffset>
          </wp:positionH>
          <wp:positionV relativeFrom="paragraph">
            <wp:posOffset>19051</wp:posOffset>
          </wp:positionV>
          <wp:extent cx="2007054" cy="561975"/>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007054" cy="561975"/>
                  </a:xfrm>
                  <a:prstGeom prst="rect">
                    <a:avLst/>
                  </a:prstGeom>
                  <a:ln/>
                </pic:spPr>
              </pic:pic>
            </a:graphicData>
          </a:graphic>
        </wp:anchor>
      </w:drawing>
    </w:r>
    <w:r>
      <w:rPr>
        <w:noProof/>
      </w:rPr>
      <w:drawing>
        <wp:anchor distT="114300" distB="114300" distL="114300" distR="114300" simplePos="0" relativeHeight="251659264" behindDoc="0" locked="0" layoutInCell="1" hidden="0" allowOverlap="1" wp14:anchorId="1C17C3AF" wp14:editId="1C17C3B0">
          <wp:simplePos x="0" y="0"/>
          <wp:positionH relativeFrom="column">
            <wp:posOffset>2200275</wp:posOffset>
          </wp:positionH>
          <wp:positionV relativeFrom="paragraph">
            <wp:posOffset>52388</wp:posOffset>
          </wp:positionV>
          <wp:extent cx="1123950" cy="561975"/>
          <wp:effectExtent l="0" t="0" r="0" b="0"/>
          <wp:wrapSquare wrapText="bothSides" distT="114300" distB="114300" distL="114300" distR="114300"/>
          <wp:docPr id="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
                  <a:srcRect t="24006" b="25921"/>
                  <a:stretch>
                    <a:fillRect/>
                  </a:stretch>
                </pic:blipFill>
                <pic:spPr>
                  <a:xfrm>
                    <a:off x="0" y="0"/>
                    <a:ext cx="1123950" cy="561975"/>
                  </a:xfrm>
                  <a:prstGeom prst="rect">
                    <a:avLst/>
                  </a:prstGeom>
                  <a:ln/>
                </pic:spPr>
              </pic:pic>
            </a:graphicData>
          </a:graphic>
        </wp:anchor>
      </w:drawing>
    </w:r>
    <w:r>
      <w:rPr>
        <w:noProof/>
      </w:rPr>
      <w:drawing>
        <wp:anchor distT="114300" distB="114300" distL="114300" distR="114300" simplePos="0" relativeHeight="251660288" behindDoc="1" locked="0" layoutInCell="1" hidden="0" allowOverlap="1" wp14:anchorId="1C17C3B1" wp14:editId="1C17C3B2">
          <wp:simplePos x="0" y="0"/>
          <wp:positionH relativeFrom="column">
            <wp:posOffset>3324225</wp:posOffset>
          </wp:positionH>
          <wp:positionV relativeFrom="paragraph">
            <wp:posOffset>4763</wp:posOffset>
          </wp:positionV>
          <wp:extent cx="2534234" cy="661988"/>
          <wp:effectExtent l="0" t="0" r="0" b="0"/>
          <wp:wrapNone/>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3"/>
                  <a:srcRect/>
                  <a:stretch>
                    <a:fillRect/>
                  </a:stretch>
                </pic:blipFill>
                <pic:spPr>
                  <a:xfrm>
                    <a:off x="0" y="0"/>
                    <a:ext cx="2534234" cy="661988"/>
                  </a:xfrm>
                  <a:prstGeom prst="rect">
                    <a:avLst/>
                  </a:prstGeom>
                  <a:ln/>
                </pic:spPr>
              </pic:pic>
            </a:graphicData>
          </a:graphic>
        </wp:anchor>
      </w:drawing>
    </w:r>
  </w:p>
  <w:p w14:paraId="1C17C3A6" w14:textId="77777777" w:rsidR="00B347C0" w:rsidRDefault="00B347C0">
    <w:pPr>
      <w:spacing w:before="0" w:line="240" w:lineRule="auto"/>
      <w:rPr>
        <w:rFonts w:ascii="Calibri" w:eastAsia="Calibri" w:hAnsi="Calibri" w:cs="Calibri"/>
        <w:highlight w:val="yellow"/>
      </w:rPr>
    </w:pPr>
  </w:p>
  <w:p w14:paraId="1C17C3A7" w14:textId="77777777" w:rsidR="00B347C0" w:rsidRDefault="00B347C0">
    <w:pPr>
      <w:spacing w:before="0" w:after="0" w:line="240" w:lineRule="auto"/>
      <w:jc w:val="right"/>
      <w:rPr>
        <w:rFonts w:ascii="Calibri" w:eastAsia="Calibri" w:hAnsi="Calibri" w:cs="Calibri"/>
      </w:rPr>
    </w:pPr>
  </w:p>
  <w:p w14:paraId="1C17C3A9" w14:textId="680ABF9A" w:rsidR="00B347C0" w:rsidRDefault="00000000" w:rsidP="00607251">
    <w:pPr>
      <w:spacing w:before="0" w:line="240" w:lineRule="auto"/>
      <w:jc w:val="right"/>
      <w:rPr>
        <w:rFonts w:ascii="Calibri" w:eastAsia="Calibri" w:hAnsi="Calibri" w:cs="Calibri"/>
        <w:i/>
        <w:iCs/>
      </w:rPr>
    </w:pPr>
    <w:r>
      <w:rPr>
        <w:rFonts w:ascii="Calibri" w:eastAsia="Calibri" w:hAnsi="Calibri" w:cs="Calibri"/>
      </w:rPr>
      <w:t>COMMUNIQUÉ DE PRESSE</w:t>
    </w:r>
  </w:p>
  <w:p w14:paraId="1C17C3AA" w14:textId="77777777" w:rsidR="00B347C0" w:rsidRDefault="00000000">
    <w:pPr>
      <w:spacing w:before="0" w:after="0" w:line="240" w:lineRule="auto"/>
      <w:jc w:val="center"/>
      <w:rPr>
        <w:rFonts w:ascii="Calibri" w:eastAsia="Calibri" w:hAnsi="Calibri" w:cs="Calibri"/>
        <w:b/>
        <w:bCs/>
        <w:i/>
        <w:iCs/>
        <w:sz w:val="28"/>
        <w:szCs w:val="28"/>
      </w:rPr>
    </w:pPr>
    <w:r>
      <w:rPr>
        <w:rFonts w:ascii="Calibri" w:eastAsia="Calibri" w:hAnsi="Calibri" w:cs="Calibri"/>
        <w:b/>
        <w:bCs/>
        <w:i/>
        <w:iCs/>
        <w:sz w:val="28"/>
        <w:szCs w:val="28"/>
      </w:rPr>
      <w:t>6 décembre: devoir de mémoire, devoir d’action</w:t>
    </w:r>
  </w:p>
  <w:p w14:paraId="1C17C3AB" w14:textId="77777777" w:rsidR="00B347C0" w:rsidRDefault="00000000">
    <w:pPr>
      <w:spacing w:before="0" w:line="240" w:lineRule="auto"/>
      <w:jc w:val="center"/>
      <w:rPr>
        <w:rFonts w:ascii="Calibri" w:eastAsia="Calibri" w:hAnsi="Calibri" w:cs="Calibri"/>
        <w:b/>
        <w:bCs/>
        <w:i/>
        <w:iCs/>
        <w:sz w:val="28"/>
        <w:szCs w:val="28"/>
      </w:rPr>
    </w:pPr>
    <w:r>
      <w:pict w14:anchorId="1C17C3B3">
        <v:rect id="_x0000_i1025" style="width:0;height:1.5pt" o:hralign="center" o:hrstd="t" o:hr="t" fillcolor="#a0a0a0" stroked="f"/>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embedTrueType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47C0"/>
    <w:rsid w:val="001B744F"/>
    <w:rsid w:val="003071A4"/>
    <w:rsid w:val="00392875"/>
    <w:rsid w:val="00607251"/>
    <w:rsid w:val="00A97E27"/>
    <w:rsid w:val="00B3416A"/>
    <w:rsid w:val="00B347C0"/>
    <w:rsid w:val="00B45DE8"/>
    <w:rsid w:val="00BF74D5"/>
    <w:rsid w:val="00C56111"/>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17C380"/>
  <w15:docId w15:val="{D4B0111E-A220-48C8-A528-1B0CEDA34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fr-CA" w:eastAsia="fr-CA" w:bidi="ar-SA"/>
      </w:rPr>
    </w:rPrDefault>
    <w:pPrDefault>
      <w:pPr>
        <w:spacing w:before="240" w:after="24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00" w:after="120"/>
      <w:outlineLvl w:val="0"/>
    </w:pPr>
    <w:rPr>
      <w:sz w:val="40"/>
      <w:szCs w:val="40"/>
    </w:rPr>
  </w:style>
  <w:style w:type="paragraph" w:styleId="Titre2">
    <w:name w:val="heading 2"/>
    <w:basedOn w:val="Normal"/>
    <w:next w:val="Normal"/>
    <w:uiPriority w:val="9"/>
    <w:semiHidden/>
    <w:unhideWhenUsed/>
    <w:qFormat/>
    <w:pPr>
      <w:keepNext/>
      <w:keepLines/>
      <w:spacing w:before="360" w:after="120"/>
      <w:outlineLvl w:val="1"/>
    </w:pPr>
    <w:rPr>
      <w:sz w:val="32"/>
      <w:szCs w:val="32"/>
    </w:rPr>
  </w:style>
  <w:style w:type="paragraph" w:styleId="Titre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itre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after="80"/>
      <w:outlineLvl w:val="4"/>
    </w:pPr>
    <w:rPr>
      <w:color w:val="666666"/>
    </w:rPr>
  </w:style>
  <w:style w:type="paragraph" w:styleId="Titre6">
    <w:name w:val="heading 6"/>
    <w:basedOn w:val="Normal"/>
    <w:next w:val="Normal"/>
    <w:uiPriority w:val="9"/>
    <w:semiHidden/>
    <w:unhideWhenUsed/>
    <w:qFormat/>
    <w:pPr>
      <w:keepNext/>
      <w:keepLines/>
      <w:spacing w:after="80"/>
      <w:outlineLvl w:val="5"/>
    </w:pPr>
    <w:rPr>
      <w:i/>
      <w:iCs/>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re">
    <w:name w:val="Title"/>
    <w:basedOn w:val="Normal"/>
    <w:next w:val="Normal"/>
    <w:uiPriority w:val="10"/>
    <w:qFormat/>
    <w:pPr>
      <w:keepNext/>
      <w:keepLines/>
      <w:spacing w:before="0" w:after="60"/>
    </w:pPr>
    <w:rPr>
      <w:sz w:val="52"/>
      <w:szCs w:val="52"/>
    </w:rPr>
  </w:style>
  <w:style w:type="paragraph" w:styleId="Sous-titre">
    <w:name w:val="Subtitle"/>
    <w:basedOn w:val="Normal"/>
    <w:next w:val="Normal"/>
    <w:uiPriority w:val="11"/>
    <w:qFormat/>
    <w:pPr>
      <w:keepNext/>
      <w:keepLines/>
      <w:spacing w:before="0" w:after="320"/>
    </w:pPr>
    <w:rPr>
      <w:color w:val="666666"/>
      <w:sz w:val="30"/>
      <w:szCs w:val="30"/>
    </w:rPr>
  </w:style>
  <w:style w:type="paragraph" w:styleId="En-tte">
    <w:name w:val="header"/>
    <w:basedOn w:val="Normal"/>
    <w:link w:val="En-tteCar"/>
    <w:uiPriority w:val="99"/>
    <w:unhideWhenUsed/>
    <w:rsid w:val="00607251"/>
    <w:pPr>
      <w:tabs>
        <w:tab w:val="center" w:pos="4320"/>
        <w:tab w:val="right" w:pos="8640"/>
      </w:tabs>
      <w:spacing w:before="0" w:after="0" w:line="240" w:lineRule="auto"/>
    </w:pPr>
  </w:style>
  <w:style w:type="character" w:customStyle="1" w:styleId="En-tteCar">
    <w:name w:val="En-tête Car"/>
    <w:basedOn w:val="Policepardfaut"/>
    <w:link w:val="En-tte"/>
    <w:uiPriority w:val="99"/>
    <w:rsid w:val="00607251"/>
  </w:style>
  <w:style w:type="paragraph" w:styleId="Pieddepage">
    <w:name w:val="footer"/>
    <w:basedOn w:val="Normal"/>
    <w:link w:val="PieddepageCar"/>
    <w:uiPriority w:val="99"/>
    <w:unhideWhenUsed/>
    <w:rsid w:val="00607251"/>
    <w:pPr>
      <w:tabs>
        <w:tab w:val="center" w:pos="4320"/>
        <w:tab w:val="right" w:pos="8640"/>
      </w:tabs>
      <w:spacing w:before="0" w:after="0" w:line="240" w:lineRule="auto"/>
    </w:pPr>
  </w:style>
  <w:style w:type="character" w:customStyle="1" w:styleId="PieddepageCar">
    <w:name w:val="Pied de page Car"/>
    <w:basedOn w:val="Policepardfaut"/>
    <w:link w:val="Pieddepage"/>
    <w:uiPriority w:val="99"/>
    <w:rsid w:val="006072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64b1e69-b5d9-4fca-8b45-6429e119cd21">
      <Terms xmlns="http://schemas.microsoft.com/office/infopath/2007/PartnerControls"/>
    </lcf76f155ced4ddcb4097134ff3c332f>
    <TaxCatchAll xmlns="14d8c402-1b6a-40b6-a1f8-1aa7e53f493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156BC00369DED4385FE76BBCDA886BC" ma:contentTypeVersion="12" ma:contentTypeDescription="Crée un document." ma:contentTypeScope="" ma:versionID="6f2c7e98430450f7dd4f1dd140b6ceaa">
  <xsd:schema xmlns:xsd="http://www.w3.org/2001/XMLSchema" xmlns:xs="http://www.w3.org/2001/XMLSchema" xmlns:p="http://schemas.microsoft.com/office/2006/metadata/properties" xmlns:ns2="364b1e69-b5d9-4fca-8b45-6429e119cd21" xmlns:ns3="14d8c402-1b6a-40b6-a1f8-1aa7e53f4932" targetNamespace="http://schemas.microsoft.com/office/2006/metadata/properties" ma:root="true" ma:fieldsID="9af9e94e33cac668135f566dc3ae7145" ns2:_="" ns3:_="">
    <xsd:import namespace="364b1e69-b5d9-4fca-8b45-6429e119cd21"/>
    <xsd:import namespace="14d8c402-1b6a-40b6-a1f8-1aa7e53f493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4b1e69-b5d9-4fca-8b45-6429e119cd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lcf76f155ced4ddcb4097134ff3c332f" ma:index="17" nillable="true" ma:taxonomy="true" ma:internalName="lcf76f155ced4ddcb4097134ff3c332f" ma:taxonomyFieldName="MediaServiceImageTags" ma:displayName="Balises d’images" ma:readOnly="false" ma:fieldId="{5cf76f15-5ced-4ddc-b409-7134ff3c332f}" ma:taxonomyMulti="true" ma:sspId="72e7b915-32c4-41cc-8d1b-454512f47ae5"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4d8c402-1b6a-40b6-a1f8-1aa7e53f493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d1123e6-8e7a-4fff-8ecd-42580a0313c7}" ma:internalName="TaxCatchAll" ma:showField="CatchAllData" ma:web="14d8c402-1b6a-40b6-a1f8-1aa7e53f493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2C92983-737F-4CE4-9311-2415C3D320D8}">
  <ds:schemaRefs>
    <ds:schemaRef ds:uri="http://schemas.microsoft.com/office/2006/metadata/properties"/>
    <ds:schemaRef ds:uri="http://schemas.microsoft.com/office/infopath/2007/PartnerControls"/>
    <ds:schemaRef ds:uri="364b1e69-b5d9-4fca-8b45-6429e119cd21"/>
    <ds:schemaRef ds:uri="14d8c402-1b6a-40b6-a1f8-1aa7e53f4932"/>
  </ds:schemaRefs>
</ds:datastoreItem>
</file>

<file path=customXml/itemProps2.xml><?xml version="1.0" encoding="utf-8"?>
<ds:datastoreItem xmlns:ds="http://schemas.openxmlformats.org/officeDocument/2006/customXml" ds:itemID="{7F2A9C67-3EB8-4924-A8DE-BC07484B726B}">
  <ds:schemaRefs>
    <ds:schemaRef ds:uri="http://schemas.microsoft.com/sharepoint/v3/contenttype/forms"/>
  </ds:schemaRefs>
</ds:datastoreItem>
</file>

<file path=customXml/itemProps3.xml><?xml version="1.0" encoding="utf-8"?>
<ds:datastoreItem xmlns:ds="http://schemas.openxmlformats.org/officeDocument/2006/customXml" ds:itemID="{82C7C3BB-B762-475C-94CB-7829BE334A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4b1e69-b5d9-4fca-8b45-6429e119cd21"/>
    <ds:schemaRef ds:uri="14d8c402-1b6a-40b6-a1f8-1aa7e53f49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971</Words>
  <Characters>5346</Characters>
  <Application>Microsoft Office Word</Application>
  <DocSecurity>0</DocSecurity>
  <Lines>44</Lines>
  <Paragraphs>12</Paragraphs>
  <ScaleCrop>false</ScaleCrop>
  <Company/>
  <LinksUpToDate>false</LinksUpToDate>
  <CharactersWithSpaces>6305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Camille Fontaine</dc:creator>
  <cp:lastModifiedBy>Camille Fontaine</cp:lastModifiedBy>
  <cp:revision>3</cp:revision>
  <dcterms:created xsi:type="dcterms:W3CDTF">2025-12-19T19:58:00Z</dcterms:created>
  <dcterms:modified xsi:type="dcterms:W3CDTF">2025-12-19T20:01:00Z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0x0101001156BC00369DED4385FE76BBCDA886BC</vt:lpwstr>
  </property>
  <property fmtid="{D5CDD505-2E9C-101B-9397-08002B2CF9AE}" pid="3" name="Order">
    <vt:r8>121800</vt:r8>
  </property>
</Properties>
</file>